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Protection Impact Assessment</w:t>
      </w:r>
    </w:p>
    <w:p>
      <w:pPr/>
      <w:r>
        <w:rPr>
          <w:i/>
        </w:rPr>
        <w:t>Template and working framework under Article 35 UK GDPR. Bratby Law.</w:t>
      </w:r>
    </w:p>
    <w:p>
      <w:pPr/>
      <w:r>
        <w:rPr>
          <w:b/>
        </w:rPr>
        <w:t>How to use this template</w:t>
      </w:r>
    </w:p>
    <w:p>
      <w:pPr/>
      <w:r>
        <w:t>This is a general-form Data Protection Impact Assessment framework for processing that meets the Article 35 threshold. Complete each section for your own processing. Replace every bracketed prompt with your facts. This template is a working tool, not legal advice; a DPIA on higher-risk processing should be reviewed by a data protection lawyer. Prepared by Bratby Law (SRA 801942). Contact rob@bratby.law.</w:t>
      </w:r>
    </w:p>
    <w:p>
      <w:pPr>
        <w:pStyle w:val="Heading2"/>
      </w:pPr>
      <w:r>
        <w:rPr>
          <w:color w:val="5B4FA0"/>
        </w:rPr>
        <w:t>Section 1: Threshold assessment</w:t>
      </w:r>
    </w:p>
    <w:p>
      <w:pPr/>
      <w:r>
        <w:t>Record whether a DPIA is required. Under Article 35(1) UK GDPR a DPIA is required where processing is likely to result in a high risk to individuals. Article 35(3) lists three mandatory triggers; the ICO screening checklist and the EDPB nine criteria (WP248 rev.01, affirmed by EDPB Guidelines 3/2024) identify further high-risk indicators.</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249"/>
        <w:gridCol w:w="3249"/>
        <w:gridCol w:w="3249"/>
      </w:tblGrid>
      <w:tr>
        <w:tc>
          <w:tcPr>
            <w:tcW w:type="dxa" w:w="3249"/>
          </w:tcPr>
          <w:p>
            <w:r/>
            <w:r>
              <w:rPr>
                <w:b/>
              </w:rPr>
              <w:t>Trigger</w:t>
            </w:r>
          </w:p>
        </w:tc>
        <w:tc>
          <w:tcPr>
            <w:tcW w:type="dxa" w:w="3249"/>
          </w:tcPr>
          <w:p>
            <w:r/>
            <w:r>
              <w:rPr>
                <w:b/>
              </w:rPr>
              <w:t>Applies? (Yes/No)</w:t>
            </w:r>
          </w:p>
        </w:tc>
        <w:tc>
          <w:tcPr>
            <w:tcW w:type="dxa" w:w="3249"/>
          </w:tcPr>
          <w:p>
            <w:r/>
            <w:r>
              <w:rPr>
                <w:b/>
              </w:rPr>
              <w:t>Note</w:t>
            </w:r>
          </w:p>
        </w:tc>
      </w:tr>
      <w:tr>
        <w:tc>
          <w:tcPr>
            <w:tcW w:type="dxa" w:w="3249"/>
          </w:tcPr>
          <w:p>
            <w:r>
              <w:t>Systematic and extensive automated evaluation, profiling or automated decision-making with legal or similarly significant effect (Art 35(3)(a))</w:t>
            </w:r>
          </w:p>
        </w:tc>
        <w:tc>
          <w:tcPr>
            <w:tcW w:type="dxa" w:w="3249"/>
          </w:tcPr>
          <w:p>
            <w:r>
              <w:t>[ ]</w:t>
            </w:r>
          </w:p>
        </w:tc>
        <w:tc>
          <w:tcPr>
            <w:tcW w:type="dxa" w:w="3249"/>
          </w:tcPr>
          <w:p>
            <w:r>
              <w:t>[note]</w:t>
            </w:r>
          </w:p>
        </w:tc>
      </w:tr>
      <w:tr>
        <w:tc>
          <w:tcPr>
            <w:tcW w:type="dxa" w:w="3249"/>
          </w:tcPr>
          <w:p>
            <w:r>
              <w:t>Large-scale processing of special category or criminal offence data (Art 35(3)(b))</w:t>
            </w:r>
          </w:p>
        </w:tc>
        <w:tc>
          <w:tcPr>
            <w:tcW w:type="dxa" w:w="3249"/>
          </w:tcPr>
          <w:p>
            <w:r>
              <w:t>[ ]</w:t>
            </w:r>
          </w:p>
        </w:tc>
        <w:tc>
          <w:tcPr>
            <w:tcW w:type="dxa" w:w="3249"/>
          </w:tcPr>
          <w:p>
            <w:r>
              <w:t>[note]</w:t>
            </w:r>
          </w:p>
        </w:tc>
      </w:tr>
      <w:tr>
        <w:tc>
          <w:tcPr>
            <w:tcW w:type="dxa" w:w="3249"/>
          </w:tcPr>
          <w:p>
            <w:r>
              <w:t>Systematic monitoring of a publicly accessible area on a large scale (Art 35(3)(c))</w:t>
            </w:r>
          </w:p>
        </w:tc>
        <w:tc>
          <w:tcPr>
            <w:tcW w:type="dxa" w:w="3249"/>
          </w:tcPr>
          <w:p>
            <w:r>
              <w:t>[ ]</w:t>
            </w:r>
          </w:p>
        </w:tc>
        <w:tc>
          <w:tcPr>
            <w:tcW w:type="dxa" w:w="3249"/>
          </w:tcPr>
          <w:p>
            <w:r>
              <w:t>[note]</w:t>
            </w:r>
          </w:p>
        </w:tc>
      </w:tr>
      <w:tr>
        <w:tc>
          <w:tcPr>
            <w:tcW w:type="dxa" w:w="3249"/>
          </w:tcPr>
          <w:p>
            <w:r>
              <w:t>Use of new or novel technology</w:t>
            </w:r>
          </w:p>
        </w:tc>
        <w:tc>
          <w:tcPr>
            <w:tcW w:type="dxa" w:w="3249"/>
          </w:tcPr>
          <w:p>
            <w:r>
              <w:t>[ ]</w:t>
            </w:r>
          </w:p>
        </w:tc>
        <w:tc>
          <w:tcPr>
            <w:tcW w:type="dxa" w:w="3249"/>
          </w:tcPr>
          <w:p>
            <w:r>
              <w:t>[note]</w:t>
            </w:r>
          </w:p>
        </w:tc>
      </w:tr>
      <w:tr>
        <w:tc>
          <w:tcPr>
            <w:tcW w:type="dxa" w:w="3249"/>
          </w:tcPr>
          <w:p>
            <w:r>
              <w:t>Matching or combining datasets</w:t>
            </w:r>
          </w:p>
        </w:tc>
        <w:tc>
          <w:tcPr>
            <w:tcW w:type="dxa" w:w="3249"/>
          </w:tcPr>
          <w:p>
            <w:r>
              <w:t>[ ]</w:t>
            </w:r>
          </w:p>
        </w:tc>
        <w:tc>
          <w:tcPr>
            <w:tcW w:type="dxa" w:w="3249"/>
          </w:tcPr>
          <w:p>
            <w:r>
              <w:t>[note]</w:t>
            </w:r>
          </w:p>
        </w:tc>
      </w:tr>
      <w:tr>
        <w:tc>
          <w:tcPr>
            <w:tcW w:type="dxa" w:w="3249"/>
          </w:tcPr>
          <w:p>
            <w:r>
              <w:t>Processing of data concerning vulnerable individuals, including children</w:t>
            </w:r>
          </w:p>
        </w:tc>
        <w:tc>
          <w:tcPr>
            <w:tcW w:type="dxa" w:w="3249"/>
          </w:tcPr>
          <w:p>
            <w:r>
              <w:t>[ ]</w:t>
            </w:r>
          </w:p>
        </w:tc>
        <w:tc>
          <w:tcPr>
            <w:tcW w:type="dxa" w:w="3249"/>
          </w:tcPr>
          <w:p>
            <w:r>
              <w:t>[note]</w:t>
            </w:r>
          </w:p>
        </w:tc>
      </w:tr>
      <w:tr>
        <w:tc>
          <w:tcPr>
            <w:tcW w:type="dxa" w:w="3249"/>
          </w:tcPr>
          <w:p>
            <w:r>
              <w:t>Denial of a service or opportunity based on the processing</w:t>
            </w:r>
          </w:p>
        </w:tc>
        <w:tc>
          <w:tcPr>
            <w:tcW w:type="dxa" w:w="3249"/>
          </w:tcPr>
          <w:p>
            <w:r>
              <w:t>[ ]</w:t>
            </w:r>
          </w:p>
        </w:tc>
        <w:tc>
          <w:tcPr>
            <w:tcW w:type="dxa" w:w="3249"/>
          </w:tcPr>
          <w:p>
            <w:r>
              <w:t>[note]</w:t>
            </w:r>
          </w:p>
        </w:tc>
      </w:tr>
      <w:tr>
        <w:tc>
          <w:tcPr>
            <w:tcW w:type="dxa" w:w="3249"/>
          </w:tcPr>
          <w:p>
            <w:r>
              <w:t>Large-scale processing (assess by number of subjects, volume, geography, duration, context; no fixed number)</w:t>
            </w:r>
          </w:p>
        </w:tc>
        <w:tc>
          <w:tcPr>
            <w:tcW w:type="dxa" w:w="3249"/>
          </w:tcPr>
          <w:p>
            <w:r>
              <w:t>[ ]</w:t>
            </w:r>
          </w:p>
        </w:tc>
        <w:tc>
          <w:tcPr>
            <w:tcW w:type="dxa" w:w="3249"/>
          </w:tcPr>
          <w:p>
            <w:r>
              <w:t>[note]</w:t>
            </w:r>
          </w:p>
        </w:tc>
      </w:tr>
      <w:tr>
        <w:tc>
          <w:tcPr>
            <w:tcW w:type="dxa" w:w="3249"/>
          </w:tcPr>
          <w:p>
            <w:r>
              <w:t>Processing that prevents individuals exercising a right or using a service</w:t>
            </w:r>
          </w:p>
        </w:tc>
        <w:tc>
          <w:tcPr>
            <w:tcW w:type="dxa" w:w="3249"/>
          </w:tcPr>
          <w:p>
            <w:r>
              <w:t>[ ]</w:t>
            </w:r>
          </w:p>
        </w:tc>
        <w:tc>
          <w:tcPr>
            <w:tcW w:type="dxa" w:w="3249"/>
          </w:tcPr>
          <w:p>
            <w:r>
              <w:t>[note]</w:t>
            </w:r>
          </w:p>
        </w:tc>
      </w:tr>
    </w:tbl>
    <w:p>
      <w:pPr/>
      <w:r>
        <w:t>Threshold conclusion: [State whether the threshold is met and on which ground(s). If met, a DPIA is mandatory; complete Sections 2 to 9. If not met, record the analysis and review if the processing scope changes.]</w:t>
      </w:r>
    </w:p>
    <w:p>
      <w:pPr>
        <w:pStyle w:val="Heading2"/>
      </w:pPr>
      <w:r>
        <w:rPr>
          <w:color w:val="5B4FA0"/>
        </w:rPr>
        <w:t>Section 2: Description of the processing (Article 35(7)(a))</w:t>
      </w:r>
    </w:p>
    <w:p>
      <w:pPr/>
      <w:r>
        <w:t>Set out the nature, scope, context and purposes of the processing.</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873"/>
        <w:gridCol w:w="4873"/>
      </w:tblGrid>
      <w:tr>
        <w:tc>
          <w:tcPr>
            <w:tcW w:type="dxa" w:w="4873"/>
          </w:tcPr>
          <w:p>
            <w:r/>
            <w:r>
              <w:rPr>
                <w:b/>
              </w:rPr>
              <w:t>Element</w:t>
            </w:r>
          </w:p>
        </w:tc>
        <w:tc>
          <w:tcPr>
            <w:tcW w:type="dxa" w:w="4873"/>
          </w:tcPr>
          <w:p>
            <w:r/>
            <w:r>
              <w:rPr>
                <w:b/>
              </w:rPr>
              <w:t>Description</w:t>
            </w:r>
          </w:p>
        </w:tc>
      </w:tr>
      <w:tr>
        <w:tc>
          <w:tcPr>
            <w:tcW w:type="dxa" w:w="4873"/>
          </w:tcPr>
          <w:p>
            <w:r>
              <w:t>Purpose(s) of the processing</w:t>
            </w:r>
          </w:p>
        </w:tc>
        <w:tc>
          <w:tcPr>
            <w:tcW w:type="dxa" w:w="4873"/>
          </w:tcPr>
          <w:p>
            <w:r>
              <w:t>[why the processing is carried out]</w:t>
            </w:r>
          </w:p>
        </w:tc>
      </w:tr>
      <w:tr>
        <w:tc>
          <w:tcPr>
            <w:tcW w:type="dxa" w:w="4873"/>
          </w:tcPr>
          <w:p>
            <w:r>
              <w:t>Nature of the processing</w:t>
            </w:r>
          </w:p>
        </w:tc>
        <w:tc>
          <w:tcPr>
            <w:tcW w:type="dxa" w:w="4873"/>
          </w:tcPr>
          <w:p>
            <w:r>
              <w:t>[how data is collected, used, stored, deleted; the data flows]</w:t>
            </w:r>
          </w:p>
        </w:tc>
      </w:tr>
      <w:tr>
        <w:tc>
          <w:tcPr>
            <w:tcW w:type="dxa" w:w="4873"/>
          </w:tcPr>
          <w:p>
            <w:r>
              <w:t>Categories of personal data</w:t>
            </w:r>
          </w:p>
        </w:tc>
        <w:tc>
          <w:tcPr>
            <w:tcW w:type="dxa" w:w="4873"/>
          </w:tcPr>
          <w:p>
            <w:r>
              <w:t>[ordinary personal data; special category data (Art 9); criminal offence data (Art 10)]</w:t>
            </w:r>
          </w:p>
        </w:tc>
      </w:tr>
      <w:tr>
        <w:tc>
          <w:tcPr>
            <w:tcW w:type="dxa" w:w="4873"/>
          </w:tcPr>
          <w:p>
            <w:r>
              <w:t>Categories of data subjects</w:t>
            </w:r>
          </w:p>
        </w:tc>
        <w:tc>
          <w:tcPr>
            <w:tcW w:type="dxa" w:w="4873"/>
          </w:tcPr>
          <w:p>
            <w:r>
              <w:t>[customers, employees, children, vulnerable individuals, etc.]</w:t>
            </w:r>
          </w:p>
        </w:tc>
      </w:tr>
      <w:tr>
        <w:tc>
          <w:tcPr>
            <w:tcW w:type="dxa" w:w="4873"/>
          </w:tcPr>
          <w:p>
            <w:r>
              <w:t>Volume and scale</w:t>
            </w:r>
          </w:p>
        </w:tc>
        <w:tc>
          <w:tcPr>
            <w:tcW w:type="dxa" w:w="4873"/>
          </w:tcPr>
          <w:p>
            <w:r>
              <w:t>[number of individuals; volume of records; geography; duration]</w:t>
            </w:r>
          </w:p>
        </w:tc>
      </w:tr>
      <w:tr>
        <w:tc>
          <w:tcPr>
            <w:tcW w:type="dxa" w:w="4873"/>
          </w:tcPr>
          <w:p>
            <w:r>
              <w:t>Recipients and processors</w:t>
            </w:r>
          </w:p>
        </w:tc>
        <w:tc>
          <w:tcPr>
            <w:tcW w:type="dxa" w:w="4873"/>
          </w:tcPr>
          <w:p>
            <w:r>
              <w:t>[who receives the data; processors engaged; Art 28 terms in place]</w:t>
            </w:r>
          </w:p>
        </w:tc>
      </w:tr>
      <w:tr>
        <w:tc>
          <w:tcPr>
            <w:tcW w:type="dxa" w:w="4873"/>
          </w:tcPr>
          <w:p>
            <w:r>
              <w:t>Retention period</w:t>
            </w:r>
          </w:p>
        </w:tc>
        <w:tc>
          <w:tcPr>
            <w:tcW w:type="dxa" w:w="4873"/>
          </w:tcPr>
          <w:p>
            <w:r>
              <w:t>[how long each category is kept and the basis]</w:t>
            </w:r>
          </w:p>
        </w:tc>
      </w:tr>
      <w:tr>
        <w:tc>
          <w:tcPr>
            <w:tcW w:type="dxa" w:w="4873"/>
          </w:tcPr>
          <w:p>
            <w:r>
              <w:t>International transfers</w:t>
            </w:r>
          </w:p>
        </w:tc>
        <w:tc>
          <w:tcPr>
            <w:tcW w:type="dxa" w:w="4873"/>
          </w:tcPr>
          <w:p>
            <w:r>
              <w:t>[destinations; transfer mechanism under Arts 44 to 49; transfer risk assessment]</w:t>
            </w:r>
          </w:p>
        </w:tc>
      </w:tr>
      <w:tr>
        <w:tc>
          <w:tcPr>
            <w:tcW w:type="dxa" w:w="4873"/>
          </w:tcPr>
          <w:p>
            <w:r>
              <w:t>Lawful basis (Art 6) and, for special category data, the Art 9 condition</w:t>
            </w:r>
          </w:p>
        </w:tc>
        <w:tc>
          <w:tcPr>
            <w:tcW w:type="dxa" w:w="4873"/>
          </w:tcPr>
          <w:p>
            <w:r>
              <w:t>[basis and condition]</w:t>
            </w:r>
          </w:p>
        </w:tc>
      </w:tr>
    </w:tbl>
    <w:p>
      <w:pPr>
        <w:pStyle w:val="Heading2"/>
      </w:pPr>
      <w:r>
        <w:rPr>
          <w:color w:val="5B4FA0"/>
        </w:rPr>
        <w:t>Section 3: Necessity and proportionality (Article 35(7)(b))</w:t>
      </w:r>
    </w:p>
    <w:p>
      <w:pPr/>
      <w:r>
        <w:t>Assess whether the processing is a necessary and proportionate means of achieving the purpose.</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873"/>
        <w:gridCol w:w="4873"/>
      </w:tblGrid>
      <w:tr>
        <w:tc>
          <w:tcPr>
            <w:tcW w:type="dxa" w:w="4873"/>
          </w:tcPr>
          <w:p>
            <w:r/>
            <w:r>
              <w:rPr>
                <w:b/>
              </w:rPr>
              <w:t>Test</w:t>
            </w:r>
          </w:p>
        </w:tc>
        <w:tc>
          <w:tcPr>
            <w:tcW w:type="dxa" w:w="4873"/>
          </w:tcPr>
          <w:p>
            <w:r/>
            <w:r>
              <w:rPr>
                <w:b/>
              </w:rPr>
              <w:t>Assessment</w:t>
            </w:r>
          </w:p>
        </w:tc>
      </w:tr>
      <w:tr>
        <w:tc>
          <w:tcPr>
            <w:tcW w:type="dxa" w:w="4873"/>
          </w:tcPr>
          <w:p>
            <w:r>
              <w:t>Necessity</w:t>
            </w:r>
          </w:p>
        </w:tc>
        <w:tc>
          <w:tcPr>
            <w:tcW w:type="dxa" w:w="4873"/>
          </w:tcPr>
          <w:p>
            <w:r>
              <w:t>[Is the processing necessary for the purpose? Apply the ICO reasonable-means test for UK-only processing, or the stricter CJEU necessity standard where EU GDPR applies. Could a less intrusive means achieve the same purpose?]</w:t>
            </w:r>
          </w:p>
        </w:tc>
      </w:tr>
      <w:tr>
        <w:tc>
          <w:tcPr>
            <w:tcW w:type="dxa" w:w="4873"/>
          </w:tcPr>
          <w:p>
            <w:r>
              <w:t>Lawful basis and, where relevant, Art 9/10 condition</w:t>
            </w:r>
          </w:p>
        </w:tc>
        <w:tc>
          <w:tcPr>
            <w:tcW w:type="dxa" w:w="4873"/>
          </w:tcPr>
          <w:p>
            <w:r>
              <w:t>[confirm the basis is correctly identified and documented]</w:t>
            </w:r>
          </w:p>
        </w:tc>
      </w:tr>
      <w:tr>
        <w:tc>
          <w:tcPr>
            <w:tcW w:type="dxa" w:w="4873"/>
          </w:tcPr>
          <w:p>
            <w:r>
              <w:t>Purpose limitation</w:t>
            </w:r>
          </w:p>
        </w:tc>
        <w:tc>
          <w:tcPr>
            <w:tcW w:type="dxa" w:w="4873"/>
          </w:tcPr>
          <w:p>
            <w:r>
              <w:t>[the data is used only for the stated purpose(s)]</w:t>
            </w:r>
          </w:p>
        </w:tc>
      </w:tr>
      <w:tr>
        <w:tc>
          <w:tcPr>
            <w:tcW w:type="dxa" w:w="4873"/>
          </w:tcPr>
          <w:p>
            <w:r>
              <w:t>Data minimisation</w:t>
            </w:r>
          </w:p>
        </w:tc>
        <w:tc>
          <w:tcPr>
            <w:tcW w:type="dxa" w:w="4873"/>
          </w:tcPr>
          <w:p>
            <w:r>
              <w:t>[only the data needed for the purpose is processed]</w:t>
            </w:r>
          </w:p>
        </w:tc>
      </w:tr>
      <w:tr>
        <w:tc>
          <w:tcPr>
            <w:tcW w:type="dxa" w:w="4873"/>
          </w:tcPr>
          <w:p>
            <w:r>
              <w:t>Accuracy</w:t>
            </w:r>
          </w:p>
        </w:tc>
        <w:tc>
          <w:tcPr>
            <w:tcW w:type="dxa" w:w="4873"/>
          </w:tcPr>
          <w:p>
            <w:r>
              <w:t>[measures to keep data accurate and up to date]</w:t>
            </w:r>
          </w:p>
        </w:tc>
      </w:tr>
      <w:tr>
        <w:tc>
          <w:tcPr>
            <w:tcW w:type="dxa" w:w="4873"/>
          </w:tcPr>
          <w:p>
            <w:r>
              <w:t>Storage limitation</w:t>
            </w:r>
          </w:p>
        </w:tc>
        <w:tc>
          <w:tcPr>
            <w:tcW w:type="dxa" w:w="4873"/>
          </w:tcPr>
          <w:p>
            <w:r>
              <w:t>[retention is no longer than necessary; deletion is automated where possible]</w:t>
            </w:r>
          </w:p>
        </w:tc>
      </w:tr>
      <w:tr>
        <w:tc>
          <w:tcPr>
            <w:tcW w:type="dxa" w:w="4873"/>
          </w:tcPr>
          <w:p>
            <w:r>
              <w:t>Data subject rights</w:t>
            </w:r>
          </w:p>
        </w:tc>
        <w:tc>
          <w:tcPr>
            <w:tcW w:type="dxa" w:w="4873"/>
          </w:tcPr>
          <w:p>
            <w:r>
              <w:t>[how access, rectification, erasure, restriction, portability and objection are supported]</w:t>
            </w:r>
          </w:p>
        </w:tc>
      </w:tr>
      <w:tr>
        <w:tc>
          <w:tcPr>
            <w:tcW w:type="dxa" w:w="4873"/>
          </w:tcPr>
          <w:p>
            <w:r>
              <w:t>Transparency</w:t>
            </w:r>
          </w:p>
        </w:tc>
        <w:tc>
          <w:tcPr>
            <w:tcW w:type="dxa" w:w="4873"/>
          </w:tcPr>
          <w:p>
            <w:r>
              <w:t>[how individuals are informed (Arts 13 to 14)]</w:t>
            </w:r>
          </w:p>
        </w:tc>
      </w:tr>
      <w:tr>
        <w:tc>
          <w:tcPr>
            <w:tcW w:type="dxa" w:w="4873"/>
          </w:tcPr>
          <w:p>
            <w:r>
              <w:t>Processor arrangements</w:t>
            </w:r>
          </w:p>
        </w:tc>
        <w:tc>
          <w:tcPr>
            <w:tcW w:type="dxa" w:w="4873"/>
          </w:tcPr>
          <w:p>
            <w:r>
              <w:t>[Art 28 contracts; sub-processor controls; audit rights]</w:t>
            </w:r>
          </w:p>
        </w:tc>
      </w:tr>
      <w:tr>
        <w:tc>
          <w:tcPr>
            <w:tcW w:type="dxa" w:w="4873"/>
          </w:tcPr>
          <w:p>
            <w:r>
              <w:t>International transfer safeguards</w:t>
            </w:r>
          </w:p>
        </w:tc>
        <w:tc>
          <w:tcPr>
            <w:tcW w:type="dxa" w:w="4873"/>
          </w:tcPr>
          <w:p>
            <w:r>
              <w:t>[the mechanism relied on and any supplementary measures]</w:t>
            </w:r>
          </w:p>
        </w:tc>
      </w:tr>
    </w:tbl>
    <w:p>
      <w:pPr>
        <w:pStyle w:val="Heading2"/>
      </w:pPr>
      <w:r>
        <w:rPr>
          <w:color w:val="5B4FA0"/>
        </w:rPr>
        <w:t>Section 4: Consultation</w:t>
      </w:r>
    </w:p>
    <w:p>
      <w:pPr/>
      <w:r>
        <w:t>Record any consultation with data subjects or their representatives, the DPO, processors, or other stakeholders, and how their views were taken into account. Where consultation was not carried out, record why.</w:t>
      </w:r>
    </w:p>
    <w:p>
      <w:pPr/>
      <w:r>
        <w:t>[Consultation record]</w:t>
      </w:r>
    </w:p>
    <w:p>
      <w:pPr>
        <w:pStyle w:val="Heading2"/>
      </w:pPr>
      <w:r>
        <w:rPr>
          <w:color w:val="5B4FA0"/>
        </w:rPr>
        <w:t>Section 5: Risk register and 5x5 scoring</w:t>
      </w:r>
    </w:p>
    <w:p>
      <w:pPr/>
      <w:r>
        <w:t>Score each risk to individuals before mitigation (inherent) and after mitigation (residual). The score is Likelihood multiplied by Severity, on a scale of 1 to 5 each, giving a score from 1 to 25. Severity is assessed from the individual's perspective, not the organisation's.</w:t>
      </w:r>
    </w:p>
    <w:p>
      <w:pPr/>
      <w:r>
        <w:rPr>
          <w:b/>
        </w:rPr>
        <w:t>Likelihood scale</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873"/>
        <w:gridCol w:w="4873"/>
      </w:tblGrid>
      <w:tr>
        <w:tc>
          <w:tcPr>
            <w:tcW w:type="dxa" w:w="4873"/>
          </w:tcPr>
          <w:p>
            <w:r/>
            <w:r>
              <w:rPr>
                <w:b/>
              </w:rPr>
              <w:t>Score</w:t>
            </w:r>
          </w:p>
        </w:tc>
        <w:tc>
          <w:tcPr>
            <w:tcW w:type="dxa" w:w="4873"/>
          </w:tcPr>
          <w:p>
            <w:r/>
            <w:r>
              <w:rPr>
                <w:b/>
              </w:rPr>
              <w:t>Meaning</w:t>
            </w:r>
          </w:p>
        </w:tc>
      </w:tr>
      <w:tr>
        <w:tc>
          <w:tcPr>
            <w:tcW w:type="dxa" w:w="4873"/>
          </w:tcPr>
          <w:p>
            <w:r>
              <w:t>1 Remote</w:t>
            </w:r>
          </w:p>
        </w:tc>
        <w:tc>
          <w:tcPr>
            <w:tcW w:type="dxa" w:w="4873"/>
          </w:tcPr>
          <w:p>
            <w:r>
              <w:t>No realistic pathway to the harm given current safeguards.</w:t>
            </w:r>
          </w:p>
        </w:tc>
      </w:tr>
      <w:tr>
        <w:tc>
          <w:tcPr>
            <w:tcW w:type="dxa" w:w="4873"/>
          </w:tcPr>
          <w:p>
            <w:r>
              <w:t>2 Unlikely</w:t>
            </w:r>
          </w:p>
        </w:tc>
        <w:tc>
          <w:tcPr>
            <w:tcW w:type="dxa" w:w="4873"/>
          </w:tcPr>
          <w:p>
            <w:r>
              <w:t>The harm needs a combination of individually unlikely factors.</w:t>
            </w:r>
          </w:p>
        </w:tc>
      </w:tr>
      <w:tr>
        <w:tc>
          <w:tcPr>
            <w:tcW w:type="dxa" w:w="4873"/>
          </w:tcPr>
          <w:p>
            <w:r>
              <w:t>3 Possible</w:t>
            </w:r>
          </w:p>
        </w:tc>
        <w:tc>
          <w:tcPr>
            <w:tcW w:type="dxa" w:w="4873"/>
          </w:tcPr>
          <w:p>
            <w:r>
              <w:t>A credible pathway exists; occurrence cannot be dismissed.</w:t>
            </w:r>
          </w:p>
        </w:tc>
      </w:tr>
      <w:tr>
        <w:tc>
          <w:tcPr>
            <w:tcW w:type="dxa" w:w="4873"/>
          </w:tcPr>
          <w:p>
            <w:r>
              <w:t>4 Likely</w:t>
            </w:r>
          </w:p>
        </w:tc>
        <w:tc>
          <w:tcPr>
            <w:tcW w:type="dxa" w:w="4873"/>
          </w:tcPr>
          <w:p>
            <w:r>
              <w:t>More likely than not to occur during the processing lifecycle.</w:t>
            </w:r>
          </w:p>
        </w:tc>
      </w:tr>
      <w:tr>
        <w:tc>
          <w:tcPr>
            <w:tcW w:type="dxa" w:w="4873"/>
          </w:tcPr>
          <w:p>
            <w:r>
              <w:t>5 Near certain</w:t>
            </w:r>
          </w:p>
        </w:tc>
        <w:tc>
          <w:tcPr>
            <w:tcW w:type="dxa" w:w="4873"/>
          </w:tcPr>
          <w:p>
            <w:r>
              <w:t>Expected to occur, or already occurring, absent mitigation.</w:t>
            </w:r>
          </w:p>
        </w:tc>
      </w:tr>
    </w:tbl>
    <w:p>
      <w:pPr/>
      <w:r>
        <w:rPr>
          <w:b/>
        </w:rPr>
        <w:t>Severity scale</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873"/>
        <w:gridCol w:w="4873"/>
      </w:tblGrid>
      <w:tr>
        <w:tc>
          <w:tcPr>
            <w:tcW w:type="dxa" w:w="4873"/>
          </w:tcPr>
          <w:p>
            <w:r/>
            <w:r>
              <w:rPr>
                <w:b/>
              </w:rPr>
              <w:t>Score</w:t>
            </w:r>
          </w:p>
        </w:tc>
        <w:tc>
          <w:tcPr>
            <w:tcW w:type="dxa" w:w="4873"/>
          </w:tcPr>
          <w:p>
            <w:r/>
            <w:r>
              <w:rPr>
                <w:b/>
              </w:rPr>
              <w:t>Meaning</w:t>
            </w:r>
          </w:p>
        </w:tc>
      </w:tr>
      <w:tr>
        <w:tc>
          <w:tcPr>
            <w:tcW w:type="dxa" w:w="4873"/>
          </w:tcPr>
          <w:p>
            <w:r>
              <w:t>1 Negligible</w:t>
            </w:r>
          </w:p>
        </w:tc>
        <w:tc>
          <w:tcPr>
            <w:tcW w:type="dxa" w:w="4873"/>
          </w:tcPr>
          <w:p>
            <w:r>
              <w:t>Minimal inconvenience, no lasting effect.</w:t>
            </w:r>
          </w:p>
        </w:tc>
      </w:tr>
      <w:tr>
        <w:tc>
          <w:tcPr>
            <w:tcW w:type="dxa" w:w="4873"/>
          </w:tcPr>
          <w:p>
            <w:r>
              <w:t>2 Minor</w:t>
            </w:r>
          </w:p>
        </w:tc>
        <w:tc>
          <w:tcPr>
            <w:tcW w:type="dxa" w:w="4873"/>
          </w:tcPr>
          <w:p>
            <w:r>
              <w:t>Temporary distress or inconvenience, no lasting consequence.</w:t>
            </w:r>
          </w:p>
        </w:tc>
      </w:tr>
      <w:tr>
        <w:tc>
          <w:tcPr>
            <w:tcW w:type="dxa" w:w="4873"/>
          </w:tcPr>
          <w:p>
            <w:r>
              <w:t>3 Moderate</w:t>
            </w:r>
          </w:p>
        </w:tc>
        <w:tc>
          <w:tcPr>
            <w:tcW w:type="dxa" w:w="4873"/>
          </w:tcPr>
          <w:p>
            <w:r>
              <w:t>Real difficulty: financial loss or reputational harm that takes effort to recover from.</w:t>
            </w:r>
          </w:p>
        </w:tc>
      </w:tr>
      <w:tr>
        <w:tc>
          <w:tcPr>
            <w:tcW w:type="dxa" w:w="4873"/>
          </w:tcPr>
          <w:p>
            <w:r>
              <w:t>4 Severe</w:t>
            </w:r>
          </w:p>
        </w:tc>
        <w:tc>
          <w:tcPr>
            <w:tcW w:type="dxa" w:w="4873"/>
          </w:tcPr>
          <w:p>
            <w:r>
              <w:t>Significant, lasting harm: substantial financial loss, serious reputational damage, discrimination, health harm.</w:t>
            </w:r>
          </w:p>
        </w:tc>
      </w:tr>
      <w:tr>
        <w:tc>
          <w:tcPr>
            <w:tcW w:type="dxa" w:w="4873"/>
          </w:tcPr>
          <w:p>
            <w:r>
              <w:t>5 Critical</w:t>
            </w:r>
          </w:p>
        </w:tc>
        <w:tc>
          <w:tcPr>
            <w:tcW w:type="dxa" w:w="4873"/>
          </w:tcPr>
          <w:p>
            <w:r>
              <w:t>Irreversible, fundamental harm: physical or serious psychological harm, identity theft at scale, exclusion from key services, harm to vulnerable individuals.</w:t>
            </w:r>
          </w:p>
        </w:tc>
      </w:tr>
    </w:tbl>
    <w:p>
      <w:pPr/>
      <w:r>
        <w:rPr>
          <w:b/>
        </w:rPr>
        <w:t>Risk bands</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873"/>
        <w:gridCol w:w="4873"/>
      </w:tblGrid>
      <w:tr>
        <w:tc>
          <w:tcPr>
            <w:tcW w:type="dxa" w:w="4873"/>
          </w:tcPr>
          <w:p>
            <w:r/>
            <w:r>
              <w:rPr>
                <w:b/>
              </w:rPr>
              <w:t>Score</w:t>
            </w:r>
          </w:p>
        </w:tc>
        <w:tc>
          <w:tcPr>
            <w:tcW w:type="dxa" w:w="4873"/>
          </w:tcPr>
          <w:p>
            <w:r/>
            <w:r>
              <w:rPr>
                <w:b/>
              </w:rPr>
              <w:t>Band and treatment</w:t>
            </w:r>
          </w:p>
        </w:tc>
      </w:tr>
      <w:tr>
        <w:tc>
          <w:tcPr>
            <w:tcW w:type="dxa" w:w="4873"/>
          </w:tcPr>
          <w:p>
            <w:r>
              <w:t>1 to 5</w:t>
            </w:r>
          </w:p>
        </w:tc>
        <w:tc>
          <w:tcPr>
            <w:tcW w:type="dxa" w:w="4873"/>
          </w:tcPr>
          <w:p>
            <w:r>
              <w:t>Low. Acceptable; document the rationale.</w:t>
            </w:r>
          </w:p>
        </w:tc>
      </w:tr>
      <w:tr>
        <w:tc>
          <w:tcPr>
            <w:tcW w:type="dxa" w:w="4873"/>
          </w:tcPr>
          <w:p>
            <w:r>
              <w:t>6 to 11</w:t>
            </w:r>
          </w:p>
        </w:tc>
        <w:tc>
          <w:tcPr>
            <w:tcW w:type="dxa" w:w="4873"/>
          </w:tcPr>
          <w:p>
            <w:r>
              <w:t>Medium. Monitor; apply standard controls; consider further measures.</w:t>
            </w:r>
          </w:p>
        </w:tc>
      </w:tr>
      <w:tr>
        <w:tc>
          <w:tcPr>
            <w:tcW w:type="dxa" w:w="4873"/>
          </w:tcPr>
          <w:p>
            <w:r>
              <w:t>12 to 14</w:t>
            </w:r>
          </w:p>
        </w:tc>
        <w:tc>
          <w:tcPr>
            <w:tcW w:type="dxa" w:w="4873"/>
          </w:tcPr>
          <w:p>
            <w:r>
              <w:t>High-medium. Active management; apply additional measures; review residual score.</w:t>
            </w:r>
          </w:p>
        </w:tc>
      </w:tr>
      <w:tr>
        <w:tc>
          <w:tcPr>
            <w:tcW w:type="dxa" w:w="4873"/>
          </w:tcPr>
          <w:p>
            <w:r>
              <w:t>15 to 24</w:t>
            </w:r>
          </w:p>
        </w:tc>
        <w:tc>
          <w:tcPr>
            <w:tcW w:type="dxa" w:w="4873"/>
          </w:tcPr>
          <w:p>
            <w:r>
              <w:t>High. Additional measures required; if the residual score stays at 15 or above, explain why processing proceeds and consider Article 36.</w:t>
            </w:r>
          </w:p>
        </w:tc>
      </w:tr>
      <w:tr>
        <w:tc>
          <w:tcPr>
            <w:tcW w:type="dxa" w:w="4873"/>
          </w:tcPr>
          <w:p>
            <w:r>
              <w:t>25</w:t>
            </w:r>
          </w:p>
        </w:tc>
        <w:tc>
          <w:tcPr>
            <w:tcW w:type="dxa" w:w="4873"/>
          </w:tcPr>
          <w:p>
            <w:r>
              <w:t>Critical. Article 36 prior consultation with the ICO is required before processing.</w:t>
            </w:r>
          </w:p>
        </w:tc>
      </w:tr>
    </w:tbl>
    <w:p>
      <w:pPr/>
      <w:r>
        <w:rPr>
          <w:b/>
        </w:rPr>
        <w:t>Risk register</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218"/>
        <w:gridCol w:w="1218"/>
        <w:gridCol w:w="1218"/>
        <w:gridCol w:w="1218"/>
        <w:gridCol w:w="1218"/>
        <w:gridCol w:w="1218"/>
        <w:gridCol w:w="1218"/>
        <w:gridCol w:w="1218"/>
      </w:tblGrid>
      <w:tr>
        <w:tc>
          <w:tcPr>
            <w:tcW w:type="dxa" w:w="1218"/>
          </w:tcPr>
          <w:p>
            <w:r/>
            <w:r>
              <w:rPr>
                <w:b/>
              </w:rPr>
              <w:t>Risk to individuals</w:t>
            </w:r>
          </w:p>
        </w:tc>
        <w:tc>
          <w:tcPr>
            <w:tcW w:type="dxa" w:w="1218"/>
          </w:tcPr>
          <w:p>
            <w:r/>
            <w:r>
              <w:rPr>
                <w:b/>
              </w:rPr>
              <w:t>Inherent likelihood (1-5)</w:t>
            </w:r>
          </w:p>
        </w:tc>
        <w:tc>
          <w:tcPr>
            <w:tcW w:type="dxa" w:w="1218"/>
          </w:tcPr>
          <w:p>
            <w:r/>
            <w:r>
              <w:rPr>
                <w:b/>
              </w:rPr>
              <w:t>Inherent severity (1-5)</w:t>
            </w:r>
          </w:p>
        </w:tc>
        <w:tc>
          <w:tcPr>
            <w:tcW w:type="dxa" w:w="1218"/>
          </w:tcPr>
          <w:p>
            <w:r/>
            <w:r>
              <w:rPr>
                <w:b/>
              </w:rPr>
              <w:t>Inherent score</w:t>
            </w:r>
          </w:p>
        </w:tc>
        <w:tc>
          <w:tcPr>
            <w:tcW w:type="dxa" w:w="1218"/>
          </w:tcPr>
          <w:p>
            <w:r/>
            <w:r>
              <w:rPr>
                <w:b/>
              </w:rPr>
              <w:t>Mitigating measures</w:t>
            </w:r>
          </w:p>
        </w:tc>
        <w:tc>
          <w:tcPr>
            <w:tcW w:type="dxa" w:w="1218"/>
          </w:tcPr>
          <w:p>
            <w:r/>
            <w:r>
              <w:rPr>
                <w:b/>
              </w:rPr>
              <w:t>Residual likelihood</w:t>
            </w:r>
          </w:p>
        </w:tc>
        <w:tc>
          <w:tcPr>
            <w:tcW w:type="dxa" w:w="1218"/>
          </w:tcPr>
          <w:p>
            <w:r/>
            <w:r>
              <w:rPr>
                <w:b/>
              </w:rPr>
              <w:t>Residual severity</w:t>
            </w:r>
          </w:p>
        </w:tc>
        <w:tc>
          <w:tcPr>
            <w:tcW w:type="dxa" w:w="1218"/>
          </w:tcPr>
          <w:p>
            <w:r/>
            <w:r>
              <w:rPr>
                <w:b/>
              </w:rPr>
              <w:t>Residual score</w:t>
            </w:r>
          </w:p>
        </w:tc>
      </w:tr>
      <w:tr>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r>
      <w:tr>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r>
      <w:tr>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r>
      <w:tr>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c>
          <w:tcPr>
            <w:tcW w:type="dxa" w:w="1218"/>
          </w:tcPr>
          <w:p>
            <w:r>
              <w:t>[ ]</w:t>
            </w:r>
          </w:p>
        </w:tc>
      </w:tr>
    </w:tbl>
    <w:p>
      <w:pPr>
        <w:pStyle w:val="Heading2"/>
      </w:pPr>
      <w:r>
        <w:rPr>
          <w:color w:val="5B4FA0"/>
        </w:rPr>
        <w:t>Section 6: Mitigating measures (Article 35(7)(d))</w:t>
      </w:r>
    </w:p>
    <w:p>
      <w:pPr/>
      <w:r>
        <w:t>For each risk, record the measures that reduce likelihood or severity, their owner, and their effect on the score. Measures may be technical (pseudonymisation, encryption, access controls), organisational (policies, training, audit), contractual (processor terms, audit rights) or procedural (minimisation by design, automated retention, breach response). Note that pseudonymisation reduces the likelihood of harm but not its severity if re-identification occurs; score accordingly.</w:t>
      </w:r>
    </w:p>
    <w:p>
      <w:pPr/>
      <w:r>
        <w:t>[Measures, cross-referenced to the risk register]</w:t>
      </w:r>
    </w:p>
    <w:p>
      <w:pPr>
        <w:pStyle w:val="Heading2"/>
      </w:pPr>
      <w:r>
        <w:rPr>
          <w:color w:val="5B4FA0"/>
        </w:rPr>
        <w:t>Section 7: Residual risk and outcome</w:t>
      </w:r>
    </w:p>
    <w:p>
      <w:pPr/>
      <w:r>
        <w:t>State the overall residual risk after mitigation and whether it is acceptable. Where any residual risk scores 15 or above, explain why the processing proceeds or identify further mitigations.</w:t>
      </w:r>
    </w:p>
    <w:p>
      <w:pPr/>
      <w:r>
        <w:t>[Outcome]</w:t>
      </w:r>
    </w:p>
    <w:p>
      <w:pPr>
        <w:pStyle w:val="Heading2"/>
      </w:pPr>
      <w:r>
        <w:rPr>
          <w:color w:val="5B4FA0"/>
        </w:rPr>
        <w:t>Section 8: Article 36 prior consultation</w:t>
      </w:r>
    </w:p>
    <w:p>
      <w:pPr/>
      <w:r>
        <w:t>Article 36 prior consultation is sequential: it follows the DPIA and is triggered where the DPIA shows that the processing would result in a high risk absent measures to mitigate it. Record the analysis even where consultation is not required; the conclusion that it is not required must be reasoned. Where consultation is required, do not commence the processing until the ICO has been consulted; the submission must be accompanied by the completed DPIA.</w:t>
      </w:r>
    </w:p>
    <w:p>
      <w:pPr/>
      <w:r>
        <w:t>[Article 36 analysis and conclusion]</w:t>
      </w:r>
    </w:p>
    <w:p>
      <w:pPr>
        <w:pStyle w:val="Heading2"/>
      </w:pPr>
      <w:r>
        <w:rPr>
          <w:color w:val="5B4FA0"/>
        </w:rPr>
        <w:t>Section 9: DPO advice, sign-off and review</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873"/>
        <w:gridCol w:w="4873"/>
      </w:tblGrid>
      <w:tr>
        <w:tc>
          <w:tcPr>
            <w:tcW w:type="dxa" w:w="4873"/>
          </w:tcPr>
          <w:p>
            <w:r/>
            <w:r>
              <w:rPr>
                <w:b/>
              </w:rPr>
              <w:t>Item</w:t>
            </w:r>
          </w:p>
        </w:tc>
        <w:tc>
          <w:tcPr>
            <w:tcW w:type="dxa" w:w="4873"/>
          </w:tcPr>
          <w:p>
            <w:r/>
            <w:r>
              <w:rPr>
                <w:b/>
              </w:rPr>
              <w:t>Record</w:t>
            </w:r>
          </w:p>
        </w:tc>
      </w:tr>
      <w:tr>
        <w:tc>
          <w:tcPr>
            <w:tcW w:type="dxa" w:w="4873"/>
          </w:tcPr>
          <w:p>
            <w:r>
              <w:t>DPO advice (where a DPO is appointed)</w:t>
            </w:r>
          </w:p>
        </w:tc>
        <w:tc>
          <w:tcPr>
            <w:tcW w:type="dxa" w:w="4873"/>
          </w:tcPr>
          <w:p>
            <w:r>
              <w:t>[advice and whether followed; if not, reasons]</w:t>
            </w:r>
          </w:p>
        </w:tc>
      </w:tr>
      <w:tr>
        <w:tc>
          <w:tcPr>
            <w:tcW w:type="dxa" w:w="4873"/>
          </w:tcPr>
          <w:p>
            <w:r>
              <w:t>Measures approved</w:t>
            </w:r>
          </w:p>
        </w:tc>
        <w:tc>
          <w:tcPr>
            <w:tcW w:type="dxa" w:w="4873"/>
          </w:tcPr>
          <w:p>
            <w:r>
              <w:t>[list]</w:t>
            </w:r>
          </w:p>
        </w:tc>
      </w:tr>
      <w:tr>
        <w:tc>
          <w:tcPr>
            <w:tcW w:type="dxa" w:w="4873"/>
          </w:tcPr>
          <w:p>
            <w:r>
              <w:t>Residual risk accepted by</w:t>
            </w:r>
          </w:p>
        </w:tc>
        <w:tc>
          <w:tcPr>
            <w:tcW w:type="dxa" w:w="4873"/>
          </w:tcPr>
          <w:p>
            <w:r>
              <w:t>[name, role, date]</w:t>
            </w:r>
          </w:p>
        </w:tc>
      </w:tr>
      <w:tr>
        <w:tc>
          <w:tcPr>
            <w:tcW w:type="dxa" w:w="4873"/>
          </w:tcPr>
          <w:p>
            <w:r>
              <w:t>Review date</w:t>
            </w:r>
          </w:p>
        </w:tc>
        <w:tc>
          <w:tcPr>
            <w:tcW w:type="dxa" w:w="4873"/>
          </w:tcPr>
          <w:p>
            <w:r>
              <w:t>[date or trigger for review]</w:t>
            </w:r>
          </w:p>
        </w:tc>
      </w:tr>
    </w:tbl>
    <w:p>
      <w:pPr/>
      <w:r>
        <w:t>This template is a general framework prepared by Bratby Law and does not constitute legal advice. Higher-risk processing should be reviewed by a data protection lawyer. Bratby Law Limited, SRA 801942. rob@bratby.law. Last updated July 2026.</w:t>
      </w:r>
    </w:p>
    <w:sectPr w:rsidR="007476F3">
      <w:headerReference w:type="default" r:id="rId7"/>
      <w:footerReference w:type="default" r:id="rId8"/>
      <w:pgSz w:w="11906" w:h="16838"/>
      <w:pgMar w:top="1440" w:right="1080" w:bottom="1080" w:left="108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BE92" w14:textId="77777777" w:rsidR="00F86849" w:rsidRDefault="00F86849">
      <w:r>
        <w:separator/>
      </w:r>
    </w:p>
  </w:endnote>
  <w:endnote w:type="continuationSeparator" w:id="0">
    <w:p w14:paraId="0D1637BE" w14:textId="77777777" w:rsidR="00F86849" w:rsidRDefault="00F8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4D"/>
    <w:family w:val="swiss"/>
    <w:pitch w:val="variable"/>
    <w:sig w:usb0="800000AF" w:usb1="4000604A" w:usb2="00000000" w:usb3="00000000" w:csb0="00000093" w:csb1="00000000"/>
  </w:font>
  <w:font w:name="Raleway">
    <w:panose1 w:val="00000000000000000000"/>
    <w:charset w:val="4D"/>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9DA6" w14:textId="77777777" w:rsidR="007476F3" w:rsidRDefault="00000000">
    <w:pPr>
      <w:pBdr>
        <w:top w:val="single" w:sz="4" w:space="4" w:color="FAD110"/>
      </w:pBdr>
      <w:spacing w:before="80"/>
    </w:pPr>
    <w:r>
      <w:rPr>
        <w:color w:val="999999"/>
        <w:sz w:val="14"/>
        <w:szCs w:val="14"/>
      </w:rPr>
      <w:t>Bratby Law Ltd is authorised and regulated by the Solicitors Regulation Authority (SRA No. 801942). Registered in England and Wales (Company No. 12539220). Registered office: 5th Floor, 167-169 Great Portland Street, London W1W 5PF.</w:t>
    </w:r>
  </w:p>
  <w:p w14:paraId="4BAABD86" w14:textId="77777777" w:rsidR="007476F3" w:rsidRDefault="00000000">
    <w:pPr>
      <w:spacing w:before="40"/>
      <w:jc w:val="right"/>
    </w:pPr>
    <w:r>
      <w:rPr>
        <w:color w:val="999999"/>
        <w:sz w:val="14"/>
        <w:szCs w:val="14"/>
      </w:rPr>
      <w:t xml:space="preserve">Page </w:t>
    </w:r>
    <w:r>
      <w:rPr>
        <w:color w:val="999999"/>
        <w:sz w:val="14"/>
        <w:szCs w:val="14"/>
      </w:rPr>
      <w:fldChar w:fldCharType="begin"/>
    </w:r>
    <w:r>
      <w:rPr>
        <w:color w:val="999999"/>
        <w:sz w:val="14"/>
        <w:szCs w:val="14"/>
      </w:rPr>
      <w:instrText>PAGE</w:instrText>
    </w:r>
    <w:r>
      <w:rPr>
        <w:color w:val="999999"/>
        <w:sz w:val="14"/>
        <w:szCs w:val="14"/>
      </w:rPr>
      <w:fldChar w:fldCharType="separate"/>
    </w:r>
    <w:r w:rsidR="00D212E4">
      <w:rPr>
        <w:noProof/>
        <w:color w:val="999999"/>
        <w:sz w:val="14"/>
        <w:szCs w:val="14"/>
      </w:rPr>
      <w:t>1</w:t>
    </w:r>
    <w:r>
      <w:rPr>
        <w:color w:val="999999"/>
        <w:sz w:val="14"/>
        <w:szCs w:val="14"/>
      </w:rPr>
      <w:fldChar w:fldCharType="end"/>
    </w:r>
    <w:r>
      <w:rPr>
        <w:color w:val="999999"/>
        <w:sz w:val="14"/>
        <w:szCs w:val="14"/>
      </w:rPr>
      <w:t xml:space="preserve"> of </w:t>
    </w:r>
    <w:r>
      <w:rPr>
        <w:color w:val="999999"/>
        <w:sz w:val="14"/>
        <w:szCs w:val="14"/>
      </w:rPr>
      <w:fldChar w:fldCharType="begin"/>
    </w:r>
    <w:r>
      <w:rPr>
        <w:color w:val="999999"/>
        <w:sz w:val="14"/>
        <w:szCs w:val="14"/>
      </w:rPr>
      <w:instrText>NUMPAGES</w:instrText>
    </w:r>
    <w:r>
      <w:rPr>
        <w:color w:val="999999"/>
        <w:sz w:val="14"/>
        <w:szCs w:val="14"/>
      </w:rPr>
      <w:fldChar w:fldCharType="separate"/>
    </w:r>
    <w:r w:rsidR="00D212E4">
      <w:rPr>
        <w:noProof/>
        <w:color w:val="999999"/>
        <w:sz w:val="14"/>
        <w:szCs w:val="14"/>
      </w:rPr>
      <w:t>2</w:t>
    </w:r>
    <w:r>
      <w:rPr>
        <w:color w:val="9999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27FF" w14:textId="77777777" w:rsidR="00F86849" w:rsidRDefault="00F86849">
      <w:r>
        <w:separator/>
      </w:r>
    </w:p>
  </w:footnote>
  <w:footnote w:type="continuationSeparator" w:id="0">
    <w:p w14:paraId="0190D486" w14:textId="77777777" w:rsidR="00F86849" w:rsidRDefault="00F8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378B" w14:textId="77777777" w:rsidR="007476F3" w:rsidRDefault="00000000">
    <w:pPr>
      <w:pBdr>
        <w:left w:val="single" w:sz="12" w:space="8" w:color="FAD110"/>
      </w:pBdr>
      <w:tabs>
        <w:tab w:val="right" w:pos="9000"/>
      </w:tabs>
      <w:ind w:left="120"/>
    </w:pPr>
    <w:r>
      <w:rPr>
        <w:rFonts w:ascii="Raleway" w:eastAsia="Raleway" w:hAnsi="Raleway" w:cs="Raleway"/>
        <w:b/>
        <w:bCs/>
        <w:color w:val="2D2D2D"/>
        <w:sz w:val="28"/>
        <w:szCs w:val="28"/>
      </w:rPr>
      <w:t>BRATBY</w:t>
    </w:r>
    <w:r>
      <w:rPr>
        <w:rFonts w:ascii="Raleway" w:eastAsia="Raleway" w:hAnsi="Raleway" w:cs="Raleway"/>
        <w:color w:val="808080"/>
        <w:sz w:val="28"/>
        <w:szCs w:val="28"/>
      </w:rPr>
      <w:t xml:space="preserve"> LAW</w:t>
    </w:r>
    <w:r>
      <w:tab/>
    </w:r>
    <w:r>
      <w:rPr>
        <w:b/>
        <w:bCs/>
        <w:color w:val="B8860B"/>
        <w:sz w:val="16"/>
        <w:szCs w:val="16"/>
      </w:rPr>
      <w:t>PRIVILEGED AND CONFIDENTIAL</w:t>
    </w:r>
  </w:p>
  <w:p w14:paraId="46E8AA89" w14:textId="77777777" w:rsidR="007476F3" w:rsidRDefault="00000000">
    <w:pPr>
      <w:pBdr>
        <w:left w:val="single" w:sz="12" w:space="8" w:color="FAD110"/>
      </w:pBdr>
      <w:tabs>
        <w:tab w:val="right" w:pos="9000"/>
      </w:tabs>
      <w:spacing w:after="120"/>
      <w:ind w:left="120"/>
    </w:pPr>
    <w:r>
      <w:rPr>
        <w:color w:val="2A9D8F"/>
        <w:sz w:val="16"/>
        <w:szCs w:val="16"/>
      </w:rPr>
      <w:t>Telecoms</w:t>
    </w:r>
    <w:r>
      <w:rPr>
        <w:color w:val="999999"/>
        <w:sz w:val="16"/>
        <w:szCs w:val="16"/>
      </w:rPr>
      <w:t xml:space="preserve"> | </w:t>
    </w:r>
    <w:r>
      <w:rPr>
        <w:color w:val="6B5B95"/>
        <w:sz w:val="16"/>
        <w:szCs w:val="16"/>
      </w:rPr>
      <w:t>Data</w:t>
    </w:r>
    <w:r>
      <w:rPr>
        <w:color w:val="999999"/>
        <w:sz w:val="16"/>
        <w:szCs w:val="16"/>
      </w:rPr>
      <w:t xml:space="preserve"> | </w:t>
    </w:r>
    <w:r>
      <w:rPr>
        <w:color w:val="B8860B"/>
        <w:sz w:val="16"/>
        <w:szCs w:val="16"/>
      </w:rPr>
      <w:t>Payments</w:t>
    </w:r>
    <w:r>
      <w:tab/>
    </w:r>
    <w:r>
      <w:rPr>
        <w:i/>
        <w:iCs/>
        <w:color w:val="999999"/>
        <w:sz w:val="16"/>
        <w:szCs w:val="16"/>
      </w:rPr>
      <w:t>Legal advice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7D27"/>
    <w:multiLevelType w:val="hybridMultilevel"/>
    <w:tmpl w:val="37E47728"/>
    <w:lvl w:ilvl="0" w:tplc="9EA8393C">
      <w:start w:val="1"/>
      <w:numFmt w:val="bullet"/>
      <w:lvlText w:val="●"/>
      <w:lvlJc w:val="left"/>
      <w:pPr>
        <w:ind w:left="720" w:hanging="360"/>
      </w:pPr>
    </w:lvl>
    <w:lvl w:ilvl="1" w:tplc="31CCB522">
      <w:start w:val="1"/>
      <w:numFmt w:val="bullet"/>
      <w:lvlText w:val="○"/>
      <w:lvlJc w:val="left"/>
      <w:pPr>
        <w:ind w:left="1440" w:hanging="360"/>
      </w:pPr>
    </w:lvl>
    <w:lvl w:ilvl="2" w:tplc="5CBC17DA">
      <w:start w:val="1"/>
      <w:numFmt w:val="bullet"/>
      <w:lvlText w:val="■"/>
      <w:lvlJc w:val="left"/>
      <w:pPr>
        <w:ind w:left="2160" w:hanging="360"/>
      </w:pPr>
    </w:lvl>
    <w:lvl w:ilvl="3" w:tplc="65B436AC">
      <w:start w:val="1"/>
      <w:numFmt w:val="bullet"/>
      <w:lvlText w:val="●"/>
      <w:lvlJc w:val="left"/>
      <w:pPr>
        <w:ind w:left="2880" w:hanging="360"/>
      </w:pPr>
    </w:lvl>
    <w:lvl w:ilvl="4" w:tplc="D5F4B396">
      <w:start w:val="1"/>
      <w:numFmt w:val="bullet"/>
      <w:lvlText w:val="○"/>
      <w:lvlJc w:val="left"/>
      <w:pPr>
        <w:ind w:left="3600" w:hanging="360"/>
      </w:pPr>
    </w:lvl>
    <w:lvl w:ilvl="5" w:tplc="17C2E75E">
      <w:start w:val="1"/>
      <w:numFmt w:val="bullet"/>
      <w:lvlText w:val="■"/>
      <w:lvlJc w:val="left"/>
      <w:pPr>
        <w:ind w:left="4320" w:hanging="360"/>
      </w:pPr>
    </w:lvl>
    <w:lvl w:ilvl="6" w:tplc="88AE0CF6">
      <w:start w:val="1"/>
      <w:numFmt w:val="bullet"/>
      <w:lvlText w:val="●"/>
      <w:lvlJc w:val="left"/>
      <w:pPr>
        <w:ind w:left="5040" w:hanging="360"/>
      </w:pPr>
    </w:lvl>
    <w:lvl w:ilvl="7" w:tplc="9600E1BE">
      <w:start w:val="1"/>
      <w:numFmt w:val="bullet"/>
      <w:lvlText w:val="●"/>
      <w:lvlJc w:val="left"/>
      <w:pPr>
        <w:ind w:left="5760" w:hanging="360"/>
      </w:pPr>
    </w:lvl>
    <w:lvl w:ilvl="8" w:tplc="C0AC3EB6">
      <w:start w:val="1"/>
      <w:numFmt w:val="bullet"/>
      <w:lvlText w:val="●"/>
      <w:lvlJc w:val="left"/>
      <w:pPr>
        <w:ind w:left="6480" w:hanging="360"/>
      </w:pPr>
    </w:lvl>
  </w:abstractNum>
  <w:num w:numId="1" w16cid:durableId="464006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F3"/>
    <w:rsid w:val="002D52AB"/>
    <w:rsid w:val="007476F3"/>
    <w:rsid w:val="00D212E4"/>
    <w:rsid w:val="00F86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426A3C"/>
  <w15:docId w15:val="{FFC4ECD8-3E50-894B-B657-7028FCB2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200" w:line="300" w:lineRule="auto"/>
      </w:pPr>
    </w:pPrDefault>
    <w:rPrDefault>
      <w:rPr>
        <w:rFonts w:ascii="Lato" w:eastAsia="Lato" w:hAnsi="Lato" w:cs="Lato"/>
        <w:color w:val="333333"/>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pPr>
      <w:spacing w:after="200" w:line="300" w:lineRule="auto"/>
    </w:pPr>
    <w:name w:val="Normal"/>
    <w:qFormat/>
  </w:style>
  <w:style w:type="paragraph" w:styleId="Heading1">
    <w:pPr>
      <w:spacing w:before="400" w:after="200" w:line="300" w:lineRule="auto"/>
    </w:pPr>
    <w:name w:val="heading 1"/>
    <w:uiPriority w:val="9"/>
    <w:qFormat/>
    <w:rPr>
      <w:rFonts w:ascii="Raleway" w:eastAsia="Raleway" w:hAnsi="Raleway" w:cs="Raleway"/>
      <w:b/>
      <w:bCs/>
      <w:color w:val="2D2D2D"/>
      <w:sz w:val="32"/>
      <w:szCs w:val="32"/>
    </w:rPr>
  </w:style>
  <w:style w:type="paragraph" w:styleId="Heading2">
    <w:pPr>
      <w:spacing w:before="320" w:after="160" w:line="300" w:lineRule="auto"/>
    </w:pPr>
    <w:name w:val="heading 2"/>
    <w:uiPriority w:val="9"/>
    <w:unhideWhenUsed/>
    <w:qFormat/>
    <w:rPr>
      <w:rFonts w:ascii="Raleway" w:eastAsia="Raleway" w:hAnsi="Raleway" w:cs="Raleway"/>
      <w:b/>
      <w:bCs/>
      <w:color w:val="2D2D2D"/>
      <w:sz w:val="24"/>
      <w:szCs w:val="24"/>
    </w:rPr>
  </w:style>
  <w:style w:type="paragraph" w:styleId="Heading3">
    <w:pPr>
      <w:spacing w:before="240" w:after="120" w:line="300" w:lineRule="auto"/>
    </w:pPr>
    <w:name w:val="heading 3"/>
    <w:uiPriority w:val="9"/>
    <w:unhideWhenUsed/>
    <w:qFormat/>
    <w:rPr>
      <w:rFonts w:ascii="Raleway" w:eastAsia="Raleway" w:hAnsi="Raleway" w:cs="Raleway"/>
      <w:b/>
      <w:bCs/>
      <w:color w:val="2D2D2D"/>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A522283D7394D8455BC560EF960C5" ma:contentTypeVersion="16" ma:contentTypeDescription="Create a new document." ma:contentTypeScope="" ma:versionID="ca0c337a78c070dd5e482e34848f2d70">
  <xsd:schema xmlns:xsd="http://www.w3.org/2001/XMLSchema" xmlns:xs="http://www.w3.org/2001/XMLSchema" xmlns:p="http://schemas.microsoft.com/office/2006/metadata/properties" xmlns:ns2="c5aeec79-e60a-428b-9c4a-88bad7f57dd7" xmlns:ns3="e84c4e00-038b-4f79-8458-f6891d517a69" targetNamespace="http://schemas.microsoft.com/office/2006/metadata/properties" ma:root="true" ma:fieldsID="6a945ef94336efd0f3bb3587da66e5a4" ns2:_="" ns3:_="">
    <xsd:import namespace="c5aeec79-e60a-428b-9c4a-88bad7f57dd7"/>
    <xsd:import namespace="e84c4e00-038b-4f79-8458-f6891d517a69"/>
    <xsd:element name="properties">
      <xsd:complexType>
        <xsd:sequence>
          <xsd:element name="documentManagement">
            <xsd:complexType>
              <xsd:all>
                <xsd:element ref="ns2:ClientName" minOccurs="0"/>
                <xsd:element ref="ns2:MatterID" minOccurs="0"/>
                <xsd:element ref="ns2:BLDocumentType" minOccurs="0"/>
                <xsd:element ref="ns2:BLPillar" minOccurs="0"/>
                <xsd:element ref="ns2:BLVersion" minOccurs="0"/>
                <xsd:element ref="ns2:BLStatu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ec79-e60a-428b-9c4a-88bad7f57dd7" elementFormDefault="qualified">
    <xsd:import namespace="http://schemas.microsoft.com/office/2006/documentManagement/types"/>
    <xsd:import namespace="http://schemas.microsoft.com/office/infopath/2007/PartnerControls"/>
    <xsd:element name="ClientName" ma:index="8" nillable="true" ma:displayName="Client name" ma:description="Client trading name" ma:internalName="ClientName">
      <xsd:simpleType>
        <xsd:restriction base="dms:Text"/>
      </xsd:simpleType>
    </xsd:element>
    <xsd:element name="MatterID" ma:index="9" nillable="true" ma:displayName="Matter ID" ma:description="Matter identifier (e.g. CL-001/M-001)" ma:internalName="MatterID">
      <xsd:simpleType>
        <xsd:restriction base="dms:Text"/>
      </xsd:simpleType>
    </xsd:element>
    <xsd:element name="BLDocumentType" ma:index="10" nillable="true" ma:displayName="Document type" ma:description="Type of legal document" ma:internalName="BLDocumentType">
      <xsd:simpleType>
        <xsd:restriction base="dms:Choice">
          <xsd:enumeration value="advice-note"/>
          <xsd:enumeration value="redline"/>
          <xsd:enumeration value="memo"/>
          <xsd:enumeration value="agreement"/>
          <xsd:enumeration value="policy"/>
          <xsd:enumeration value="engagement-letter"/>
          <xsd:enumeration value="email"/>
          <xsd:enumeration value="other"/>
        </xsd:restriction>
      </xsd:simpleType>
    </xsd:element>
    <xsd:element name="BLPillar" ma:index="11" nillable="true" ma:displayName="Pillar" ma:description="Bratby Law practice area pillar" ma:internalName="BLPillar">
      <xsd:simpleType>
        <xsd:restriction base="dms:Choice">
          <xsd:enumeration value="telecoms-regulation"/>
          <xsd:enumeration value="data-protection"/>
          <xsd:enumeration value="payments-regulation"/>
          <xsd:enumeration value="transactions"/>
          <xsd:enumeration value="general"/>
        </xsd:restriction>
      </xsd:simpleType>
    </xsd:element>
    <xsd:element name="BLVersion" ma:index="12" nillable="true" ma:displayName="Version" ma:description="Document version (e.g. v1.0, v2-draft)" ma:internalName="BLVersion">
      <xsd:simpleType>
        <xsd:restriction base="dms:Text"/>
      </xsd:simpleType>
    </xsd:element>
    <xsd:element name="BLStatus" ma:index="13" nillable="true" ma:displayName="Status" ma:description="Document status" ma:internalName="BLStatus">
      <xsd:simpleType>
        <xsd:restriction base="dms:Choice">
          <xsd:enumeration value="draft"/>
          <xsd:enumeration value="final"/>
          <xsd:enumeration value="superseded"/>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bde665-59b3-4872-8038-a9f2cbde494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c4e00-038b-4f79-8458-f6891d517a6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96c845c-ec0e-405b-8cd4-6f433d62d4cd}" ma:internalName="TaxCatchAll" ma:showField="CatchAllData" ma:web="e84c4e00-038b-4f79-8458-f6891d517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4c4e00-038b-4f79-8458-f6891d517a69" xsi:nil="true"/>
    <MatterID xmlns="c5aeec79-e60a-428b-9c4a-88bad7f57dd7" xsi:nil="true"/>
    <BLStatus xmlns="c5aeec79-e60a-428b-9c4a-88bad7f57dd7" xsi:nil="true"/>
    <ClientName xmlns="c5aeec79-e60a-428b-9c4a-88bad7f57dd7" xsi:nil="true"/>
    <BLPillar xmlns="c5aeec79-e60a-428b-9c4a-88bad7f57dd7" xsi:nil="true"/>
    <lcf76f155ced4ddcb4097134ff3c332f xmlns="c5aeec79-e60a-428b-9c4a-88bad7f57dd7">
      <Terms xmlns="http://schemas.microsoft.com/office/infopath/2007/PartnerControls"/>
    </lcf76f155ced4ddcb4097134ff3c332f>
    <BLVersion xmlns="c5aeec79-e60a-428b-9c4a-88bad7f57dd7" xsi:nil="true"/>
    <BLDocumentType xmlns="c5aeec79-e60a-428b-9c4a-88bad7f57dd7" xsi:nil="true"/>
  </documentManagement>
</p:properties>
</file>

<file path=customXml/itemProps1.xml><?xml version="1.0" encoding="utf-8"?>
<ds:datastoreItem xmlns:ds="http://schemas.openxmlformats.org/officeDocument/2006/customXml" ds:itemID="{EA78486A-6B82-4219-BD41-E29657B870E0}"/>
</file>

<file path=customXml/itemProps2.xml><?xml version="1.0" encoding="utf-8"?>
<ds:datastoreItem xmlns:ds="http://schemas.openxmlformats.org/officeDocument/2006/customXml" ds:itemID="{6B805734-E0A3-402D-9743-D2AC56BF6BE2}"/>
</file>

<file path=customXml/itemProps3.xml><?xml version="1.0" encoding="utf-8"?>
<ds:datastoreItem xmlns:ds="http://schemas.openxmlformats.org/officeDocument/2006/customXml" ds:itemID="{EAD50C4F-1F1C-4665-B02A-6FEAD0F631C1}"/>
</file>

<file path=docProps/app.xml><?xml version="1.0" encoding="utf-8"?>
<Properties xmlns="http://schemas.openxmlformats.org/officeDocument/2006/extended-properties" xmlns:vt="http://schemas.openxmlformats.org/officeDocument/2006/docPropsVTypes">
  <Template>Normal.dotm</Template>
  <TotalTime>1</TotalTime>
  <Pages>44</Pages>
  <Words>21062</Words>
  <Characters>118162</Characters>
  <Application>Microsoft Office Word</Application>
  <DocSecurity>0</DocSecurity>
  <Lines>1495</Lines>
  <Paragraphs>470</Paragraphs>
  <ScaleCrop>false</ScaleCrop>
  <Company/>
  <LinksUpToDate>false</LinksUpToDate>
  <CharactersWithSpaces>138754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Infranomics — Wi-Fi Propensity Project (Privileged Advice)</dc:title>
  <dc:creator>Bratby Law</dc:creator>
  <dc:description>Privileged legal advice — WTA 2006, IPA 2016, PECR reg 6 (DUAA 2025).</dc:description>
  <cp:lastModifiedBy>Rob Bratby</cp:lastModifiedBy>
  <cp:revision>2</cp:revision>
  <dcterms:created xsi:type="dcterms:W3CDTF">2026-05-06T18:18:00Z</dcterms:created>
  <dcterms:modified xsi:type="dcterms:W3CDTF">2026-05-06T18:32:00Z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0x010100338A522283D7394D8455BC560EF960C5</vt:lpwstr>
  </property>
</Properties>
</file>